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8B2644" w:rsidRDefault="008F3795" w:rsidP="00D22D98">
      <w:pPr>
        <w:rPr>
          <w:rFonts w:ascii="Times New Roman" w:hAnsi="Times New Roman" w:cs="Times New Roman"/>
        </w:rPr>
      </w:pPr>
      <w:r w:rsidRPr="008B264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-410210</wp:posOffset>
            </wp:positionV>
            <wp:extent cx="2470785" cy="607695"/>
            <wp:effectExtent l="19050" t="0" r="5715" b="0"/>
            <wp:wrapSquare wrapText="bothSides"/>
            <wp:docPr id="1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29" w:rsidRPr="00025029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2" type="#_x0000_t75" alt="logo FSEGA new-01" style="position:absolute;left:6306;top:543;width:4590;height:1065;visibility:visible" o:regroupid="1">
              <v:imagedata r:id="rId9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FA7E4E" w:rsidRPr="008B264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-627888</wp:posOffset>
            </wp:positionH>
            <wp:positionV relativeFrom="paragraph">
              <wp:posOffset>-998068</wp:posOffset>
            </wp:positionV>
            <wp:extent cx="7208368" cy="232623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68" cy="232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D98" w:rsidRPr="008B2644" w:rsidRDefault="00025029" w:rsidP="00D22D98">
      <w:pPr>
        <w:rPr>
          <w:rFonts w:ascii="Times New Roman" w:hAnsi="Times New Roman" w:cs="Times New Roman"/>
        </w:rPr>
      </w:pPr>
      <w:r w:rsidRPr="00025029">
        <w:rPr>
          <w:rFonts w:ascii="Times New Roman" w:hAnsi="Times New Roman" w:cs="Times New Roman"/>
          <w:noProof/>
          <w:lang w:val="en-GB" w:eastAsia="en-GB"/>
        </w:rPr>
        <w:pict>
          <v:shape id="_x0000_s1049" type="#_x0000_t202" style="position:absolute;left:0;text-align:left;margin-left:174.85pt;margin-top:6.65pt;width:312.8pt;height:109.8pt;z-index:-251653121" o:regroupid="1" stroked="f">
            <v:textbox style="mso-next-textbox:#_x0000_s1049">
              <w:txbxContent>
                <w:p w:rsidR="001D5B9D" w:rsidRDefault="001D5B9D" w:rsidP="001D5B9D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Calibri" w:hAnsi="Calibri"/>
                      <w:b/>
                      <w:color w:val="7F7F7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7F7F7F"/>
                      <w:sz w:val="24"/>
                      <w:szCs w:val="24"/>
                    </w:rPr>
                    <w:t>Departamentul Administrarea Afacerilor</w:t>
                  </w:r>
                </w:p>
                <w:p w:rsidR="001D5B9D" w:rsidRDefault="001D5B9D" w:rsidP="001D5B9D">
                  <w:pPr>
                    <w:ind w:firstLine="3600"/>
                    <w:contextualSpacing/>
                    <w:jc w:val="right"/>
                    <w:rPr>
                      <w:color w:val="0F243E"/>
                      <w:sz w:val="18"/>
                      <w:szCs w:val="18"/>
                    </w:rPr>
                  </w:pPr>
                  <w:r w:rsidRPr="005E3744">
                    <w:rPr>
                      <w:color w:val="0F243E"/>
                      <w:sz w:val="18"/>
                      <w:szCs w:val="18"/>
                    </w:rPr>
                    <w:t xml:space="preserve">Str. </w:t>
                  </w:r>
                  <w:r>
                    <w:rPr>
                      <w:color w:val="0F243E"/>
                      <w:sz w:val="18"/>
                      <w:szCs w:val="18"/>
                    </w:rPr>
                    <w:t>Stadionului</w:t>
                  </w:r>
                  <w:r w:rsidRPr="005E3744">
                    <w:rPr>
                      <w:color w:val="0F243E"/>
                      <w:sz w:val="18"/>
                      <w:szCs w:val="18"/>
                    </w:rPr>
                    <w:t xml:space="preserve"> nr. </w:t>
                  </w:r>
                  <w:r>
                    <w:rPr>
                      <w:color w:val="0F243E"/>
                      <w:sz w:val="18"/>
                      <w:szCs w:val="18"/>
                    </w:rPr>
                    <w:t>14</w:t>
                  </w:r>
                </w:p>
                <w:p w:rsidR="001D5B9D" w:rsidRPr="00FA7E4E" w:rsidRDefault="001D5B9D" w:rsidP="001D5B9D">
                  <w:pPr>
                    <w:jc w:val="right"/>
                    <w:rPr>
                      <w:rFonts w:ascii="Calibri" w:hAnsi="Calibri"/>
                      <w:color w:val="7F7F7F"/>
                      <w:sz w:val="16"/>
                      <w:szCs w:val="16"/>
                    </w:rPr>
                  </w:pPr>
                  <w:r>
                    <w:rPr>
                      <w:color w:val="0F243E"/>
                      <w:sz w:val="18"/>
                      <w:szCs w:val="18"/>
                    </w:rPr>
                    <w:t>Sfântu Gheorghe</w:t>
                  </w:r>
                  <w:r w:rsidRPr="005E3744">
                    <w:rPr>
                      <w:color w:val="0F243E"/>
                      <w:sz w:val="18"/>
                      <w:szCs w:val="18"/>
                    </w:rPr>
                    <w:t>, RO-</w:t>
                  </w:r>
                  <w:r>
                    <w:rPr>
                      <w:color w:val="0F243E"/>
                      <w:sz w:val="18"/>
                      <w:szCs w:val="18"/>
                    </w:rPr>
                    <w:t>520050</w:t>
                  </w:r>
                </w:p>
                <w:p w:rsidR="001D5B9D" w:rsidRPr="005E3744" w:rsidRDefault="001D5B9D" w:rsidP="001D5B9D">
                  <w:pPr>
                    <w:spacing w:before="100" w:beforeAutospacing="1" w:after="100" w:afterAutospacing="1"/>
                    <w:ind w:firstLine="3690"/>
                    <w:contextualSpacing/>
                    <w:jc w:val="right"/>
                    <w:rPr>
                      <w:color w:val="0F243E"/>
                      <w:sz w:val="18"/>
                      <w:szCs w:val="18"/>
                    </w:rPr>
                  </w:pPr>
                  <w:r w:rsidRPr="005E3744">
                    <w:rPr>
                      <w:color w:val="0F243E"/>
                      <w:sz w:val="18"/>
                      <w:szCs w:val="18"/>
                    </w:rPr>
                    <w:t xml:space="preserve">Tel.: </w:t>
                  </w:r>
                  <w:r>
                    <w:rPr>
                      <w:color w:val="0F243E"/>
                      <w:sz w:val="18"/>
                      <w:szCs w:val="18"/>
                    </w:rPr>
                    <w:t xml:space="preserve"> </w:t>
                  </w:r>
                  <w:r w:rsidRPr="005E3744">
                    <w:rPr>
                      <w:color w:val="0F243E"/>
                      <w:sz w:val="18"/>
                      <w:szCs w:val="18"/>
                    </w:rPr>
                    <w:t>026</w:t>
                  </w:r>
                  <w:r>
                    <w:rPr>
                      <w:color w:val="0F243E"/>
                      <w:sz w:val="18"/>
                      <w:szCs w:val="18"/>
                    </w:rPr>
                    <w:t>7</w:t>
                  </w:r>
                  <w:r w:rsidRPr="005E3744">
                    <w:rPr>
                      <w:color w:val="0F243E"/>
                      <w:sz w:val="18"/>
                      <w:szCs w:val="18"/>
                    </w:rPr>
                    <w:t>-</w:t>
                  </w:r>
                  <w:r>
                    <w:rPr>
                      <w:color w:val="0F243E"/>
                      <w:sz w:val="18"/>
                      <w:szCs w:val="18"/>
                    </w:rPr>
                    <w:t>352.80</w:t>
                  </w:r>
                  <w:r w:rsidR="00654688">
                    <w:rPr>
                      <w:color w:val="0F243E"/>
                      <w:sz w:val="18"/>
                      <w:szCs w:val="18"/>
                    </w:rPr>
                    <w:t>7</w:t>
                  </w:r>
                </w:p>
                <w:p w:rsidR="001D5B9D" w:rsidRPr="005E3744" w:rsidRDefault="001D5B9D" w:rsidP="001D5B9D">
                  <w:pPr>
                    <w:spacing w:before="100" w:beforeAutospacing="1" w:after="100" w:afterAutospacing="1"/>
                    <w:ind w:firstLine="3690"/>
                    <w:contextualSpacing/>
                    <w:jc w:val="right"/>
                    <w:rPr>
                      <w:color w:val="0F243E"/>
                      <w:sz w:val="18"/>
                      <w:szCs w:val="18"/>
                    </w:rPr>
                  </w:pPr>
                  <w:r>
                    <w:rPr>
                      <w:color w:val="0F243E"/>
                      <w:sz w:val="18"/>
                      <w:szCs w:val="18"/>
                    </w:rPr>
                    <w:t xml:space="preserve"> </w:t>
                  </w:r>
                  <w:r w:rsidRPr="005E3744">
                    <w:rPr>
                      <w:color w:val="0F243E"/>
                      <w:sz w:val="18"/>
                      <w:szCs w:val="18"/>
                    </w:rPr>
                    <w:t xml:space="preserve">Fax: </w:t>
                  </w:r>
                  <w:r>
                    <w:rPr>
                      <w:color w:val="0F243E"/>
                      <w:sz w:val="18"/>
                      <w:szCs w:val="18"/>
                    </w:rPr>
                    <w:t xml:space="preserve"> </w:t>
                  </w:r>
                  <w:r w:rsidRPr="005E3744">
                    <w:rPr>
                      <w:color w:val="0F243E"/>
                      <w:sz w:val="18"/>
                      <w:szCs w:val="18"/>
                    </w:rPr>
                    <w:t>026</w:t>
                  </w:r>
                  <w:r>
                    <w:rPr>
                      <w:color w:val="0F243E"/>
                      <w:sz w:val="18"/>
                      <w:szCs w:val="18"/>
                    </w:rPr>
                    <w:t>7</w:t>
                  </w:r>
                  <w:r w:rsidRPr="005E3744">
                    <w:rPr>
                      <w:color w:val="0F243E"/>
                      <w:sz w:val="18"/>
                      <w:szCs w:val="18"/>
                    </w:rPr>
                    <w:t>-</w:t>
                  </w:r>
                  <w:r>
                    <w:rPr>
                      <w:color w:val="0F243E"/>
                      <w:sz w:val="18"/>
                      <w:szCs w:val="18"/>
                    </w:rPr>
                    <w:t>352.80</w:t>
                  </w:r>
                  <w:r w:rsidR="00654688">
                    <w:rPr>
                      <w:color w:val="0F243E"/>
                      <w:sz w:val="18"/>
                      <w:szCs w:val="18"/>
                    </w:rPr>
                    <w:t>7</w:t>
                  </w:r>
                </w:p>
                <w:p w:rsidR="001D5B9D" w:rsidRDefault="001D5B9D" w:rsidP="001D5B9D">
                  <w:pPr>
                    <w:spacing w:before="100" w:beforeAutospacing="1" w:after="100" w:afterAutospacing="1"/>
                    <w:ind w:firstLine="1260"/>
                    <w:contextualSpacing/>
                    <w:jc w:val="right"/>
                  </w:pPr>
                  <w:r>
                    <w:t xml:space="preserve">                               </w:t>
                  </w:r>
                  <w:hyperlink r:id="rId11" w:history="1">
                    <w:r w:rsidRPr="001C799F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daa_econ@econ.ubbcluj.ro</w:t>
                    </w:r>
                  </w:hyperlink>
                </w:p>
                <w:p w:rsidR="001D5B9D" w:rsidRPr="005E3744" w:rsidRDefault="001D5B9D" w:rsidP="001D5B9D">
                  <w:pPr>
                    <w:spacing w:before="100" w:beforeAutospacing="1" w:after="100" w:afterAutospacing="1"/>
                    <w:ind w:firstLine="1260"/>
                    <w:contextualSpacing/>
                    <w:jc w:val="right"/>
                    <w:rPr>
                      <w:color w:val="0F243E"/>
                      <w:sz w:val="18"/>
                      <w:szCs w:val="18"/>
                    </w:rPr>
                  </w:pPr>
                  <w:r>
                    <w:rPr>
                      <w:color w:val="0F243E"/>
                      <w:sz w:val="18"/>
                      <w:szCs w:val="18"/>
                    </w:rPr>
                    <w:t xml:space="preserve">    </w:t>
                  </w:r>
                  <w:r w:rsidRPr="005E3744">
                    <w:rPr>
                      <w:color w:val="0F243E"/>
                      <w:sz w:val="18"/>
                      <w:szCs w:val="18"/>
                    </w:rPr>
                    <w:t>www.</w:t>
                  </w:r>
                  <w:r>
                    <w:rPr>
                      <w:color w:val="0F243E"/>
                      <w:sz w:val="18"/>
                      <w:szCs w:val="18"/>
                    </w:rPr>
                    <w:t>extensii.ubbcluj.ro/sfantugheorghe/daa</w:t>
                  </w:r>
                </w:p>
                <w:p w:rsidR="008A5827" w:rsidRPr="001D5B9D" w:rsidRDefault="008A5827" w:rsidP="001D5B9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691268" w:rsidRPr="008B2644" w:rsidRDefault="00691268" w:rsidP="00D22D98">
      <w:pPr>
        <w:rPr>
          <w:rFonts w:ascii="Times New Roman" w:hAnsi="Times New Roman" w:cs="Times New Roman"/>
        </w:rPr>
      </w:pPr>
    </w:p>
    <w:p w:rsidR="00395018" w:rsidRPr="008B2644" w:rsidRDefault="00395018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B45072" w:rsidRPr="008B2644" w:rsidRDefault="00B45072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5" w:rsidRPr="008B2644" w:rsidRDefault="008F3795" w:rsidP="00691268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325024" w:rsidRPr="008B2644" w:rsidRDefault="00325024" w:rsidP="00691268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E153A2" w:rsidRPr="0083517A" w:rsidRDefault="00E153A2" w:rsidP="00E153A2">
      <w:pPr>
        <w:rPr>
          <w:rFonts w:ascii="Times New Roman" w:hAnsi="Times New Roman"/>
        </w:rPr>
      </w:pPr>
    </w:p>
    <w:p w:rsidR="00E153A2" w:rsidRPr="0083517A" w:rsidRDefault="00E153A2" w:rsidP="00E153A2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Nr. _______ / __________ 2018</w:t>
      </w:r>
    </w:p>
    <w:p w:rsidR="00E153A2" w:rsidRPr="0083517A" w:rsidRDefault="00E153A2" w:rsidP="00E153A2">
      <w:pPr>
        <w:spacing w:line="288" w:lineRule="auto"/>
        <w:rPr>
          <w:rFonts w:ascii="Times New Roman" w:hAnsi="Times New Roman"/>
        </w:rPr>
      </w:pPr>
    </w:p>
    <w:p w:rsidR="00E153A2" w:rsidRDefault="00E153A2" w:rsidP="00E153A2">
      <w:pPr>
        <w:spacing w:line="276" w:lineRule="auto"/>
        <w:rPr>
          <w:rFonts w:ascii="Times New Roman" w:hAnsi="Times New Roman"/>
          <w:b/>
        </w:rPr>
      </w:pP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Specializarea de masterat: </w:t>
      </w:r>
      <w:r w:rsidRPr="0015442B">
        <w:rPr>
          <w:rFonts w:ascii="Times New Roman" w:hAnsi="Times New Roman"/>
          <w:b/>
          <w:sz w:val="24"/>
          <w:szCs w:val="24"/>
        </w:rPr>
        <w:t>Managementul dezvoltării afacerilor (la Sfântu Gheorghe)</w:t>
      </w:r>
    </w:p>
    <w:p w:rsidR="00E153A2" w:rsidRPr="0015442B" w:rsidRDefault="00E153A2" w:rsidP="00E153A2">
      <w:pPr>
        <w:spacing w:line="3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153A2" w:rsidRPr="0015442B" w:rsidRDefault="00E153A2" w:rsidP="00E153A2">
      <w:pPr>
        <w:spacing w:line="3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442B">
        <w:rPr>
          <w:rFonts w:ascii="Times New Roman" w:hAnsi="Times New Roman"/>
          <w:b/>
          <w:sz w:val="24"/>
          <w:szCs w:val="24"/>
        </w:rPr>
        <w:t>TEMATICA ŞI BIBLIOGRAFIA</w:t>
      </w:r>
    </w:p>
    <w:p w:rsidR="00E153A2" w:rsidRPr="0015442B" w:rsidRDefault="00E153A2" w:rsidP="00E153A2">
      <w:pPr>
        <w:spacing w:line="340" w:lineRule="atLeast"/>
        <w:jc w:val="center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pentru examenul</w:t>
      </w:r>
      <w:r w:rsidR="00F20A1C">
        <w:rPr>
          <w:rFonts w:ascii="Times New Roman" w:hAnsi="Times New Roman"/>
          <w:sz w:val="24"/>
          <w:szCs w:val="24"/>
        </w:rPr>
        <w:t xml:space="preserve"> de admitere, sesiun</w:t>
      </w:r>
      <w:r w:rsidR="00076E96">
        <w:rPr>
          <w:rFonts w:ascii="Times New Roman" w:hAnsi="Times New Roman"/>
          <w:sz w:val="24"/>
          <w:szCs w:val="24"/>
        </w:rPr>
        <w:t>ile</w:t>
      </w:r>
      <w:r w:rsidR="00F20A1C">
        <w:rPr>
          <w:rFonts w:ascii="Times New Roman" w:hAnsi="Times New Roman"/>
          <w:sz w:val="24"/>
          <w:szCs w:val="24"/>
        </w:rPr>
        <w:t xml:space="preserve"> iulie </w:t>
      </w:r>
      <w:r w:rsidRPr="0015442B">
        <w:rPr>
          <w:rFonts w:ascii="Times New Roman" w:hAnsi="Times New Roman"/>
          <w:sz w:val="24"/>
          <w:szCs w:val="24"/>
        </w:rPr>
        <w:t>şi septembrie 201</w:t>
      </w:r>
      <w:r>
        <w:rPr>
          <w:rFonts w:ascii="Times New Roman" w:hAnsi="Times New Roman"/>
          <w:sz w:val="24"/>
          <w:szCs w:val="24"/>
        </w:rPr>
        <w:t>9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153A2" w:rsidRPr="0015442B" w:rsidRDefault="00E153A2" w:rsidP="00E153A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5442B">
        <w:rPr>
          <w:rFonts w:ascii="Times New Roman" w:hAnsi="Times New Roman"/>
          <w:b/>
          <w:sz w:val="24"/>
          <w:szCs w:val="24"/>
        </w:rPr>
        <w:t>DISCIPLINA: MANAGEMENT</w:t>
      </w:r>
    </w:p>
    <w:p w:rsidR="00E153A2" w:rsidRPr="0015442B" w:rsidRDefault="00E153A2" w:rsidP="00E153A2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E153A2" w:rsidRPr="0015442B" w:rsidRDefault="00E153A2" w:rsidP="00E153A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5442B">
        <w:rPr>
          <w:rFonts w:ascii="Times New Roman" w:hAnsi="Times New Roman"/>
          <w:b/>
          <w:sz w:val="24"/>
          <w:szCs w:val="24"/>
        </w:rPr>
        <w:t>CAPITOLUL 1. MANAGEMENT  GENERAL</w:t>
      </w:r>
    </w:p>
    <w:p w:rsidR="00E153A2" w:rsidRPr="0015442B" w:rsidRDefault="00E153A2" w:rsidP="00E153A2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1.1. Concepte fundamentale ale managementului </w:t>
      </w:r>
    </w:p>
    <w:p w:rsidR="00E153A2" w:rsidRPr="0015442B" w:rsidRDefault="00E153A2" w:rsidP="00E153A2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1.2. Managementul schimbării şi inovării</w:t>
      </w:r>
    </w:p>
    <w:p w:rsidR="00E153A2" w:rsidRPr="0015442B" w:rsidRDefault="00E153A2" w:rsidP="00E153A2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1.3. Cultura organizaţională</w:t>
      </w:r>
    </w:p>
    <w:p w:rsidR="00E153A2" w:rsidRPr="0015442B" w:rsidRDefault="00E153A2" w:rsidP="00E153A2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1.4. Leadership</w:t>
      </w:r>
    </w:p>
    <w:p w:rsidR="00E153A2" w:rsidRPr="0015442B" w:rsidRDefault="00E153A2" w:rsidP="00E153A2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1.5. Comunicarea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15442B">
        <w:rPr>
          <w:rFonts w:ascii="Times New Roman" w:hAnsi="Times New Roman"/>
          <w:b/>
          <w:caps/>
          <w:sz w:val="24"/>
          <w:szCs w:val="24"/>
        </w:rPr>
        <w:t>capitolul 2.</w:t>
      </w:r>
      <w:r w:rsidRPr="0015442B">
        <w:rPr>
          <w:rFonts w:ascii="Times New Roman" w:hAnsi="Times New Roman"/>
          <w:caps/>
          <w:sz w:val="24"/>
          <w:szCs w:val="24"/>
        </w:rPr>
        <w:t xml:space="preserve">  </w:t>
      </w:r>
      <w:r w:rsidRPr="0015442B">
        <w:rPr>
          <w:rFonts w:ascii="Times New Roman" w:hAnsi="Times New Roman"/>
          <w:b/>
          <w:caps/>
          <w:sz w:val="24"/>
          <w:szCs w:val="24"/>
        </w:rPr>
        <w:t>INTRODUCERE ÎN MANAGEMENTUL RESURSELOR UMANE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caps/>
          <w:sz w:val="24"/>
          <w:szCs w:val="24"/>
        </w:rPr>
        <w:t xml:space="preserve">2.1. </w:t>
      </w:r>
      <w:r w:rsidRPr="0015442B">
        <w:rPr>
          <w:rFonts w:ascii="Times New Roman" w:hAnsi="Times New Roman"/>
          <w:sz w:val="24"/>
          <w:szCs w:val="24"/>
        </w:rPr>
        <w:t>Rolul şi particularităţile resurselor umane în cadrul organizaţiilor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2.2. Managementul resurselor umane: concept, obiective şi activităţi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rPr>
          <w:rFonts w:ascii="Times New Roman" w:hAnsi="Times New Roman"/>
          <w:b/>
          <w:caps/>
          <w:sz w:val="24"/>
          <w:szCs w:val="24"/>
        </w:rPr>
      </w:pPr>
      <w:r w:rsidRPr="0015442B">
        <w:rPr>
          <w:rFonts w:ascii="Times New Roman" w:hAnsi="Times New Roman"/>
          <w:b/>
          <w:caps/>
          <w:sz w:val="24"/>
          <w:szCs w:val="24"/>
        </w:rPr>
        <w:t>capitolul 3. RECRUTAREA ŞI SELECŢIA RESURSELOR UMANE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caps/>
          <w:sz w:val="24"/>
          <w:szCs w:val="24"/>
        </w:rPr>
        <w:t xml:space="preserve">3.1. </w:t>
      </w:r>
      <w:r w:rsidRPr="0015442B">
        <w:rPr>
          <w:rFonts w:ascii="Times New Roman" w:hAnsi="Times New Roman"/>
          <w:sz w:val="24"/>
          <w:szCs w:val="24"/>
        </w:rPr>
        <w:t>Proiectarea şi analiza posturilor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3.2. Recrutarea resurselor umane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3.3. Selecţia resurselor umane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rPr>
          <w:rFonts w:ascii="Times New Roman" w:hAnsi="Times New Roman"/>
          <w:b/>
          <w:caps/>
          <w:sz w:val="24"/>
          <w:szCs w:val="24"/>
        </w:rPr>
      </w:pPr>
      <w:r w:rsidRPr="0015442B">
        <w:rPr>
          <w:rFonts w:ascii="Times New Roman" w:hAnsi="Times New Roman"/>
          <w:b/>
          <w:caps/>
          <w:sz w:val="24"/>
          <w:szCs w:val="24"/>
        </w:rPr>
        <w:t xml:space="preserve">capitolul 4. DEZVOLTAREA RESURSELOR UMANE ŞI MANAGEMENTUL 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rPr>
          <w:rFonts w:ascii="Times New Roman" w:hAnsi="Times New Roman"/>
          <w:b/>
          <w:caps/>
          <w:sz w:val="24"/>
          <w:szCs w:val="24"/>
        </w:rPr>
      </w:pPr>
      <w:r w:rsidRPr="0015442B">
        <w:rPr>
          <w:rFonts w:ascii="Times New Roman" w:hAnsi="Times New Roman"/>
          <w:b/>
          <w:caps/>
          <w:sz w:val="24"/>
          <w:szCs w:val="24"/>
        </w:rPr>
        <w:t xml:space="preserve">       CARIEREI PROFESIONALE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4.1. Procesul de formare şi dezvoltare profesională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4.2.  Etapele procesului de instruire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4.3. Cariera profesională: concept şi etape (stadii) ale carierei profesionale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4.4. Responsabilităţile organizaţiei şi ale individului în planificarea carierei profesionale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15442B">
        <w:rPr>
          <w:rFonts w:ascii="Times New Roman" w:hAnsi="Times New Roman"/>
          <w:b/>
          <w:sz w:val="24"/>
          <w:szCs w:val="24"/>
        </w:rPr>
        <w:t>CAPITOLUL 5.</w:t>
      </w:r>
      <w:r w:rsidRPr="0015442B">
        <w:rPr>
          <w:rFonts w:ascii="Times New Roman" w:hAnsi="Times New Roman"/>
          <w:sz w:val="24"/>
          <w:szCs w:val="24"/>
        </w:rPr>
        <w:t xml:space="preserve"> </w:t>
      </w:r>
      <w:r w:rsidRPr="0015442B">
        <w:rPr>
          <w:rFonts w:ascii="Times New Roman" w:hAnsi="Times New Roman"/>
          <w:b/>
          <w:sz w:val="24"/>
          <w:szCs w:val="24"/>
        </w:rPr>
        <w:t>EVALUAREA,</w:t>
      </w:r>
      <w:r w:rsidRPr="0015442B">
        <w:rPr>
          <w:rFonts w:ascii="Times New Roman" w:hAnsi="Times New Roman"/>
          <w:sz w:val="24"/>
          <w:szCs w:val="24"/>
        </w:rPr>
        <w:t xml:space="preserve"> </w:t>
      </w:r>
      <w:r w:rsidRPr="0015442B">
        <w:rPr>
          <w:rFonts w:ascii="Times New Roman" w:hAnsi="Times New Roman"/>
          <w:b/>
          <w:sz w:val="24"/>
          <w:szCs w:val="24"/>
        </w:rPr>
        <w:t xml:space="preserve">MOTIVAREA ŞI RECOMPENSAREA ANGAJAŢILOR 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5.1. Evaluarea performanţelor profesionale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5.2.Motivarea: concept şi teorii motivaţionale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5.3. Tehnici de motivare a resurselor umane</w:t>
      </w:r>
    </w:p>
    <w:p w:rsidR="00E153A2" w:rsidRPr="0015442B" w:rsidRDefault="00E153A2" w:rsidP="00E153A2">
      <w:pPr>
        <w:tabs>
          <w:tab w:val="left" w:pos="142"/>
        </w:tabs>
        <w:spacing w:line="276" w:lineRule="auto"/>
        <w:ind w:left="720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5.4. Sistemul de recompense: concept şi tipuri de recompense</w:t>
      </w:r>
    </w:p>
    <w:p w:rsidR="00E153A2" w:rsidRPr="0015442B" w:rsidRDefault="00E153A2" w:rsidP="00E153A2">
      <w:pPr>
        <w:tabs>
          <w:tab w:val="left" w:pos="13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b/>
          <w:bCs/>
          <w:iCs/>
          <w:sz w:val="24"/>
          <w:szCs w:val="24"/>
        </w:rPr>
        <w:t xml:space="preserve">CAPITOLUL 6. </w:t>
      </w:r>
      <w:r w:rsidRPr="0015442B">
        <w:rPr>
          <w:rFonts w:ascii="Times New Roman" w:hAnsi="Times New Roman"/>
          <w:b/>
          <w:bCs/>
          <w:sz w:val="24"/>
          <w:szCs w:val="24"/>
        </w:rPr>
        <w:t>MEDIUL EXTERIOR FIRMEI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153A2" w:rsidRPr="0015442B" w:rsidRDefault="00E153A2" w:rsidP="00E153A2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6.1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Mediul general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153A2" w:rsidRPr="0015442B" w:rsidRDefault="00E153A2" w:rsidP="00E153A2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6.2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Mediul industriei 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153A2" w:rsidRPr="0015442B" w:rsidRDefault="00E153A2" w:rsidP="00E153A2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6.3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Evoluţia unei industrii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E153A2" w:rsidRPr="0015442B" w:rsidRDefault="00E153A2" w:rsidP="00E153A2">
      <w:pPr>
        <w:spacing w:line="276" w:lineRule="auto"/>
        <w:ind w:left="720"/>
        <w:rPr>
          <w:rFonts w:ascii="Times New Roman" w:hAnsi="Times New Roman"/>
          <w:b/>
          <w:bCs/>
          <w:iC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6.4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Grupurile strategice şi tipurile strategice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CAPITOLUL 7.  </w:t>
      </w:r>
      <w:r w:rsidRPr="0015442B">
        <w:rPr>
          <w:rFonts w:ascii="Times New Roman" w:hAnsi="Times New Roman"/>
          <w:b/>
          <w:bCs/>
          <w:sz w:val="24"/>
          <w:szCs w:val="24"/>
        </w:rPr>
        <w:t>MEDIUL INTERIOR FIRMEI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ab/>
        <w:t>7.1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Resursele şi competenţele firmei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ab/>
        <w:t>7.2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Analiza lanţului valorii. Externalizarea activităţilor</w:t>
      </w:r>
      <w:r w:rsidRPr="0015442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153A2" w:rsidRPr="0015442B" w:rsidRDefault="00E153A2" w:rsidP="00E153A2">
      <w:pPr>
        <w:spacing w:line="276" w:lineRule="auto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7.3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Procesul de benchmarking</w:t>
      </w:r>
      <w:r w:rsidRPr="0015442B">
        <w:rPr>
          <w:rFonts w:ascii="Times New Roman" w:hAnsi="Times New Roman"/>
          <w:sz w:val="24"/>
          <w:szCs w:val="24"/>
        </w:rPr>
        <w:tab/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b/>
          <w:bCs/>
          <w:iCs/>
          <w:sz w:val="24"/>
          <w:szCs w:val="24"/>
        </w:rPr>
        <w:t xml:space="preserve">CAPITOLUL 8.  </w:t>
      </w:r>
      <w:r w:rsidRPr="0015442B">
        <w:rPr>
          <w:rFonts w:ascii="Times New Roman" w:hAnsi="Times New Roman"/>
          <w:b/>
          <w:bCs/>
          <w:sz w:val="24"/>
          <w:szCs w:val="24"/>
        </w:rPr>
        <w:t>STRATEGIA LA NIVELUL FIRMEI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>8.1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Strategia de diversificare corelată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ab/>
        <w:t>8.2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Strategia de diversificare necorelată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ab/>
        <w:t>8.3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Strategii de colaborare: societăţile mixte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</w:t>
      </w:r>
      <w:r w:rsidRPr="0015442B">
        <w:rPr>
          <w:rFonts w:ascii="Times New Roman" w:hAnsi="Times New Roman"/>
          <w:sz w:val="24"/>
          <w:szCs w:val="24"/>
        </w:rPr>
        <w:tab/>
      </w:r>
    </w:p>
    <w:p w:rsidR="00E153A2" w:rsidRPr="0015442B" w:rsidRDefault="00E153A2" w:rsidP="00E153A2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>8.4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Alianţele strategice şi reţelele strategice</w:t>
      </w:r>
      <w:r w:rsidRPr="0015442B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ab/>
        <w:t>8.5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Strategii de fuziune şi achiziţie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E153A2" w:rsidRPr="0015442B" w:rsidRDefault="00C209CD" w:rsidP="00E153A2">
      <w:pPr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8.6. </w:t>
      </w:r>
      <w:r w:rsidR="00E153A2" w:rsidRPr="0015442B">
        <w:rPr>
          <w:rFonts w:ascii="Times New Roman" w:hAnsi="Times New Roman"/>
          <w:sz w:val="24"/>
          <w:szCs w:val="24"/>
        </w:rPr>
        <w:t>Strategia de restructurare</w:t>
      </w:r>
      <w:r w:rsidR="00E153A2" w:rsidRPr="0015442B">
        <w:rPr>
          <w:rFonts w:ascii="Times New Roman" w:hAnsi="Times New Roman"/>
          <w:sz w:val="24"/>
          <w:szCs w:val="24"/>
        </w:rPr>
        <w:tab/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b/>
          <w:bCs/>
          <w:iCs/>
          <w:sz w:val="24"/>
          <w:szCs w:val="24"/>
        </w:rPr>
        <w:t xml:space="preserve">CAPITOLUL 9.  </w:t>
      </w:r>
      <w:r w:rsidRPr="0015442B">
        <w:rPr>
          <w:rFonts w:ascii="Times New Roman" w:hAnsi="Times New Roman"/>
          <w:b/>
          <w:bCs/>
          <w:sz w:val="24"/>
          <w:szCs w:val="24"/>
        </w:rPr>
        <w:t xml:space="preserve">STRATEGIA LA NIVELUL AFACERILOR </w:t>
      </w:r>
      <w:r w:rsidRPr="0015442B">
        <w:rPr>
          <w:rFonts w:ascii="Times New Roman" w:hAnsi="Times New Roman"/>
          <w:sz w:val="24"/>
          <w:szCs w:val="24"/>
        </w:rPr>
        <w:tab/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ab/>
        <w:t>9.1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Strategia leadershipului prin cost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ab/>
        <w:t>9.2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Strategia de diferenţiere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ab/>
        <w:t>9.3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Strategia orientată (focalizată)</w:t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ab/>
        <w:t>9.4</w:t>
      </w:r>
      <w:r w:rsidR="00C209CD">
        <w:rPr>
          <w:rFonts w:ascii="Times New Roman" w:hAnsi="Times New Roman"/>
          <w:sz w:val="24"/>
          <w:szCs w:val="24"/>
        </w:rPr>
        <w:t>.</w:t>
      </w:r>
      <w:r w:rsidRPr="0015442B">
        <w:rPr>
          <w:rFonts w:ascii="Times New Roman" w:hAnsi="Times New Roman"/>
          <w:sz w:val="24"/>
          <w:szCs w:val="24"/>
        </w:rPr>
        <w:t xml:space="preserve"> Strategia integrată a costului redus şi a diferenţierii</w:t>
      </w:r>
    </w:p>
    <w:p w:rsidR="00E153A2" w:rsidRPr="0015442B" w:rsidRDefault="00E153A2" w:rsidP="00E153A2">
      <w:pPr>
        <w:spacing w:line="276" w:lineRule="auto"/>
        <w:rPr>
          <w:rFonts w:ascii="Times New Roman" w:hAnsi="Times New Roman"/>
          <w:b/>
          <w:caps/>
          <w:sz w:val="24"/>
          <w:szCs w:val="24"/>
        </w:rPr>
      </w:pPr>
    </w:p>
    <w:p w:rsidR="00E153A2" w:rsidRPr="0015442B" w:rsidRDefault="00E153A2" w:rsidP="00E153A2">
      <w:pPr>
        <w:spacing w:line="276" w:lineRule="auto"/>
        <w:rPr>
          <w:rFonts w:ascii="Times New Roman" w:hAnsi="Times New Roman"/>
          <w:b/>
          <w:caps/>
          <w:sz w:val="24"/>
          <w:szCs w:val="24"/>
        </w:rPr>
      </w:pPr>
      <w:r w:rsidRPr="0015442B">
        <w:rPr>
          <w:rFonts w:ascii="Times New Roman" w:hAnsi="Times New Roman"/>
          <w:b/>
          <w:caps/>
          <w:sz w:val="24"/>
          <w:szCs w:val="24"/>
        </w:rPr>
        <w:t>Bibliografie: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Armstrong, M., (2006), </w:t>
      </w:r>
      <w:r w:rsidRPr="0015442B">
        <w:rPr>
          <w:rFonts w:ascii="Times New Roman" w:hAnsi="Times New Roman"/>
          <w:i/>
          <w:sz w:val="24"/>
          <w:szCs w:val="24"/>
        </w:rPr>
        <w:t>A Handbook Of Human Resource Management Practice</w:t>
      </w:r>
      <w:r w:rsidRPr="0015442B">
        <w:rPr>
          <w:rFonts w:ascii="Times New Roman" w:hAnsi="Times New Roman"/>
          <w:sz w:val="24"/>
          <w:szCs w:val="24"/>
        </w:rPr>
        <w:t>, 10th Edition, Publisher Kogan Page Ltd;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Băcanu, B., 2006, </w:t>
      </w:r>
      <w:r w:rsidRPr="0015442B">
        <w:rPr>
          <w:rFonts w:ascii="Times New Roman" w:hAnsi="Times New Roman"/>
          <w:i/>
          <w:iCs/>
          <w:sz w:val="24"/>
          <w:szCs w:val="24"/>
        </w:rPr>
        <w:t xml:space="preserve">Practici de Management Strategic. Metode şi  Studii de Caz, </w:t>
      </w:r>
      <w:r w:rsidRPr="0015442B">
        <w:rPr>
          <w:rFonts w:ascii="Times New Roman" w:hAnsi="Times New Roman"/>
          <w:sz w:val="24"/>
          <w:szCs w:val="24"/>
        </w:rPr>
        <w:t>Iaşi: Polirom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Borza, A., 2012, </w:t>
      </w:r>
      <w:r w:rsidRPr="0015442B">
        <w:rPr>
          <w:rFonts w:ascii="Times New Roman" w:hAnsi="Times New Roman"/>
          <w:i/>
          <w:sz w:val="24"/>
          <w:szCs w:val="24"/>
        </w:rPr>
        <w:t xml:space="preserve">Management Strategic, </w:t>
      </w:r>
      <w:r w:rsidRPr="0015442B">
        <w:rPr>
          <w:rFonts w:ascii="Times New Roman" w:hAnsi="Times New Roman"/>
          <w:sz w:val="24"/>
          <w:szCs w:val="24"/>
        </w:rPr>
        <w:t>Cluj-Napoca: Risoprint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Câmpeanu - Sonea, E., Osoian, C., Sonea, A., (2003), </w:t>
      </w:r>
      <w:r w:rsidRPr="0015442B">
        <w:rPr>
          <w:rFonts w:ascii="Times New Roman" w:hAnsi="Times New Roman"/>
          <w:i/>
          <w:sz w:val="24"/>
          <w:szCs w:val="24"/>
        </w:rPr>
        <w:t>Managementul Resurselor Umane: Sinteze, Cazuri, Probleme</w:t>
      </w:r>
      <w:r w:rsidRPr="0015442B">
        <w:rPr>
          <w:rFonts w:ascii="Times New Roman" w:hAnsi="Times New Roman"/>
          <w:sz w:val="24"/>
          <w:szCs w:val="24"/>
        </w:rPr>
        <w:t>, Ed. Presa Universitară Clujeană, Cluj-Napoca;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Câmpeanu- Sonea, E., Osoian, C., L., ( 2004), </w:t>
      </w:r>
      <w:r w:rsidRPr="0015442B">
        <w:rPr>
          <w:rFonts w:ascii="Times New Roman" w:hAnsi="Times New Roman"/>
          <w:i/>
          <w:sz w:val="24"/>
          <w:szCs w:val="24"/>
        </w:rPr>
        <w:t>Managementul Resurselor Umane: Recrutarea, Selecţia şi Dezvoltarea Profesională</w:t>
      </w:r>
      <w:r w:rsidRPr="0015442B">
        <w:rPr>
          <w:rFonts w:ascii="Times New Roman" w:hAnsi="Times New Roman"/>
          <w:sz w:val="24"/>
          <w:szCs w:val="24"/>
        </w:rPr>
        <w:t>, Ed. Presa Universitară Clujeană, Cluj-Napoca;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Chişu, V., A., (2002), </w:t>
      </w:r>
      <w:r w:rsidRPr="0015442B">
        <w:rPr>
          <w:rFonts w:ascii="Times New Roman" w:hAnsi="Times New Roman"/>
          <w:i/>
          <w:sz w:val="24"/>
          <w:szCs w:val="24"/>
        </w:rPr>
        <w:t>Manualul specialistului în resurse umane</w:t>
      </w:r>
      <w:r w:rsidRPr="0015442B">
        <w:rPr>
          <w:rFonts w:ascii="Times New Roman" w:hAnsi="Times New Roman"/>
          <w:sz w:val="24"/>
          <w:szCs w:val="24"/>
        </w:rPr>
        <w:t>, Ed. Irecson, Bucureşti;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Ciobanu, I., Ciulu, R., 2005, </w:t>
      </w:r>
      <w:r w:rsidRPr="0015442B">
        <w:rPr>
          <w:rFonts w:ascii="Times New Roman" w:hAnsi="Times New Roman"/>
          <w:i/>
          <w:iCs/>
          <w:sz w:val="24"/>
          <w:szCs w:val="24"/>
        </w:rPr>
        <w:t xml:space="preserve">Strategiile Competitive ale Firmei, </w:t>
      </w:r>
      <w:r w:rsidRPr="0015442B">
        <w:rPr>
          <w:rFonts w:ascii="Times New Roman" w:hAnsi="Times New Roman"/>
          <w:sz w:val="24"/>
          <w:szCs w:val="24"/>
        </w:rPr>
        <w:t>Iaşi: Polirom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David, F., 2008, </w:t>
      </w:r>
      <w:r w:rsidRPr="0015442B">
        <w:rPr>
          <w:rFonts w:ascii="Times New Roman" w:hAnsi="Times New Roman"/>
          <w:i/>
          <w:sz w:val="24"/>
          <w:szCs w:val="24"/>
        </w:rPr>
        <w:t>Strategic management. Concepts and Cases</w:t>
      </w:r>
      <w:r w:rsidRPr="0015442B">
        <w:rPr>
          <w:rFonts w:ascii="Times New Roman" w:hAnsi="Times New Roman"/>
          <w:sz w:val="24"/>
          <w:szCs w:val="24"/>
        </w:rPr>
        <w:t xml:space="preserve">, 11th Edition, New-Jersey: Pearson/Prentince Hall 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Drucker, P.F. (2010): </w:t>
      </w:r>
      <w:r w:rsidRPr="0015442B">
        <w:rPr>
          <w:rFonts w:ascii="Times New Roman" w:hAnsi="Times New Roman"/>
          <w:i/>
          <w:sz w:val="24"/>
          <w:szCs w:val="24"/>
        </w:rPr>
        <w:t>Despre decizie şi eficacitate: ghidul complet al lucrurilor bine făcute</w:t>
      </w:r>
      <w:r w:rsidRPr="0015442B">
        <w:rPr>
          <w:rFonts w:ascii="Times New Roman" w:hAnsi="Times New Roman"/>
          <w:sz w:val="24"/>
          <w:szCs w:val="24"/>
        </w:rPr>
        <w:t xml:space="preserve">, Bucureşti: Meteor Business. 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Hitt, M., Hoskisson, R., Ireland, D., 2007, </w:t>
      </w:r>
      <w:r w:rsidRPr="0015442B">
        <w:rPr>
          <w:rFonts w:ascii="Times New Roman" w:hAnsi="Times New Roman"/>
          <w:i/>
          <w:iCs/>
          <w:sz w:val="24"/>
          <w:szCs w:val="24"/>
        </w:rPr>
        <w:t xml:space="preserve">Management of Strategy. Concepts and Cases, </w:t>
      </w:r>
      <w:r w:rsidRPr="0015442B">
        <w:rPr>
          <w:rFonts w:ascii="Times New Roman" w:hAnsi="Times New Roman"/>
          <w:sz w:val="24"/>
          <w:szCs w:val="24"/>
        </w:rPr>
        <w:t>USA: Thomson/South-Western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Ilieş, L., Osoian, C., Petelean, A., (2002), </w:t>
      </w:r>
      <w:r w:rsidRPr="0015442B">
        <w:rPr>
          <w:rFonts w:ascii="Times New Roman" w:hAnsi="Times New Roman"/>
          <w:i/>
          <w:sz w:val="24"/>
          <w:szCs w:val="24"/>
        </w:rPr>
        <w:t>Managementul Resurselor Umane</w:t>
      </w:r>
      <w:r w:rsidRPr="0015442B">
        <w:rPr>
          <w:rFonts w:ascii="Times New Roman" w:hAnsi="Times New Roman"/>
          <w:sz w:val="24"/>
          <w:szCs w:val="24"/>
        </w:rPr>
        <w:t>, Ed. Dacia, Cluj-Napoca;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Johnson, G., Scholes, K., 2002, </w:t>
      </w:r>
      <w:r w:rsidRPr="0015442B">
        <w:rPr>
          <w:rFonts w:ascii="Times New Roman" w:hAnsi="Times New Roman"/>
          <w:i/>
          <w:iCs/>
          <w:sz w:val="24"/>
          <w:szCs w:val="24"/>
        </w:rPr>
        <w:t xml:space="preserve">Exploring Corporate Strategy, </w:t>
      </w:r>
      <w:r w:rsidRPr="0015442B">
        <w:rPr>
          <w:rFonts w:ascii="Times New Roman" w:hAnsi="Times New Roman"/>
          <w:sz w:val="24"/>
          <w:szCs w:val="24"/>
        </w:rPr>
        <w:t>6th Edition, UK: Pearson Education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Manolescu, A., (2001), </w:t>
      </w:r>
      <w:r w:rsidRPr="0015442B">
        <w:rPr>
          <w:rFonts w:ascii="Times New Roman" w:hAnsi="Times New Roman"/>
          <w:i/>
          <w:sz w:val="24"/>
          <w:szCs w:val="24"/>
        </w:rPr>
        <w:t>Managementul Resurselor Umane</w:t>
      </w:r>
      <w:r w:rsidRPr="0015442B">
        <w:rPr>
          <w:rFonts w:ascii="Times New Roman" w:hAnsi="Times New Roman"/>
          <w:sz w:val="24"/>
          <w:szCs w:val="24"/>
        </w:rPr>
        <w:t>, Ed. Economică, Bucureşti;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Nicolescu, O. &amp; Nicolescu, C. (2011). </w:t>
      </w:r>
      <w:r w:rsidRPr="0015442B">
        <w:rPr>
          <w:rFonts w:ascii="Times New Roman" w:hAnsi="Times New Roman"/>
          <w:i/>
          <w:sz w:val="24"/>
          <w:szCs w:val="24"/>
        </w:rPr>
        <w:t>Organizaţia şi managementul bazate pe cunoştinţe: teorie, metodologie, studii de caz şi baterii de teste</w:t>
      </w:r>
      <w:r w:rsidRPr="0015442B">
        <w:rPr>
          <w:rFonts w:ascii="Times New Roman" w:hAnsi="Times New Roman"/>
          <w:sz w:val="24"/>
          <w:szCs w:val="24"/>
        </w:rPr>
        <w:t xml:space="preserve">, Bucureşti: Pro Universitaria. 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Nicolescu, O. &amp; Verboncu, I. (2007). </w:t>
      </w:r>
      <w:r w:rsidRPr="0015442B">
        <w:rPr>
          <w:rFonts w:ascii="Times New Roman" w:hAnsi="Times New Roman"/>
          <w:i/>
          <w:sz w:val="24"/>
          <w:szCs w:val="24"/>
        </w:rPr>
        <w:t>Managementul organizaţiei</w:t>
      </w:r>
      <w:r w:rsidRPr="0015442B">
        <w:rPr>
          <w:rFonts w:ascii="Times New Roman" w:hAnsi="Times New Roman"/>
          <w:sz w:val="24"/>
          <w:szCs w:val="24"/>
        </w:rPr>
        <w:t xml:space="preserve">, Bucureşti: Economică. 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Petrescu, I. (2010). </w:t>
      </w:r>
      <w:r w:rsidRPr="0015442B">
        <w:rPr>
          <w:rFonts w:ascii="Times New Roman" w:hAnsi="Times New Roman"/>
          <w:i/>
          <w:sz w:val="24"/>
          <w:szCs w:val="24"/>
        </w:rPr>
        <w:t>Management general: teorie şi aplicaţii practice</w:t>
      </w:r>
      <w:r w:rsidRPr="0015442B">
        <w:rPr>
          <w:rFonts w:ascii="Times New Roman" w:hAnsi="Times New Roman"/>
          <w:sz w:val="24"/>
          <w:szCs w:val="24"/>
        </w:rPr>
        <w:t xml:space="preserve">, Bucureşti: Fundaţia „România de Mâine”. 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lastRenderedPageBreak/>
        <w:t xml:space="preserve">Popa, M., Lungescu, D., Salanţă, I. (2013): </w:t>
      </w:r>
      <w:r w:rsidRPr="0015442B">
        <w:rPr>
          <w:rFonts w:ascii="Times New Roman" w:hAnsi="Times New Roman"/>
          <w:i/>
          <w:sz w:val="24"/>
          <w:szCs w:val="24"/>
        </w:rPr>
        <w:t>Management. Concepte, tehnici, abilităţi</w:t>
      </w:r>
      <w:r w:rsidRPr="0015442B">
        <w:rPr>
          <w:rFonts w:ascii="Times New Roman" w:hAnsi="Times New Roman"/>
          <w:sz w:val="24"/>
          <w:szCs w:val="24"/>
        </w:rPr>
        <w:t>. Cluj-Napoca: Presa Universitară Clujeană.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Porumb, E., M., (2005), </w:t>
      </w:r>
      <w:r w:rsidRPr="0015442B">
        <w:rPr>
          <w:rFonts w:ascii="Times New Roman" w:hAnsi="Times New Roman"/>
          <w:i/>
          <w:sz w:val="24"/>
          <w:szCs w:val="24"/>
        </w:rPr>
        <w:t>Managementul Resurselor Umane</w:t>
      </w:r>
      <w:r w:rsidRPr="0015442B">
        <w:rPr>
          <w:rFonts w:ascii="Times New Roman" w:hAnsi="Times New Roman"/>
          <w:sz w:val="24"/>
          <w:szCs w:val="24"/>
        </w:rPr>
        <w:t>, Ediţia a doua, Ed. Efes, Cluj-Napoca;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Raymond, A., N., Hollenbeck, J., R., Gerhart., B., (2008), </w:t>
      </w:r>
      <w:r w:rsidRPr="0015442B">
        <w:rPr>
          <w:rFonts w:ascii="Times New Roman" w:hAnsi="Times New Roman"/>
          <w:i/>
          <w:sz w:val="24"/>
          <w:szCs w:val="24"/>
        </w:rPr>
        <w:t>Fundamentals Of  Human Resource Management</w:t>
      </w:r>
      <w:r w:rsidRPr="0015442B">
        <w:rPr>
          <w:rFonts w:ascii="Times New Roman" w:hAnsi="Times New Roman"/>
          <w:sz w:val="24"/>
          <w:szCs w:val="24"/>
        </w:rPr>
        <w:t>, Mcgraw- Hill/Irwin;</w:t>
      </w:r>
    </w:p>
    <w:p w:rsidR="00E153A2" w:rsidRPr="0015442B" w:rsidRDefault="00E153A2" w:rsidP="00E153A2">
      <w:pPr>
        <w:numPr>
          <w:ilvl w:val="0"/>
          <w:numId w:val="6"/>
        </w:numPr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15442B">
        <w:rPr>
          <w:rFonts w:ascii="Times New Roman" w:hAnsi="Times New Roman"/>
          <w:sz w:val="24"/>
          <w:szCs w:val="24"/>
        </w:rPr>
        <w:t xml:space="preserve">Shaun, T., (2006), </w:t>
      </w:r>
      <w:r w:rsidRPr="0015442B">
        <w:rPr>
          <w:rFonts w:ascii="Times New Roman" w:hAnsi="Times New Roman"/>
          <w:i/>
          <w:sz w:val="24"/>
          <w:szCs w:val="24"/>
        </w:rPr>
        <w:t>Essentials Of Human Resource Management</w:t>
      </w:r>
      <w:r w:rsidRPr="0015442B">
        <w:rPr>
          <w:rFonts w:ascii="Times New Roman" w:hAnsi="Times New Roman"/>
          <w:sz w:val="24"/>
          <w:szCs w:val="24"/>
        </w:rPr>
        <w:t>, Butterworth- Heinemann, 5th Edition</w:t>
      </w:r>
      <w:r w:rsidR="00364E72">
        <w:rPr>
          <w:rFonts w:ascii="Times New Roman" w:hAnsi="Times New Roman"/>
          <w:sz w:val="24"/>
          <w:szCs w:val="24"/>
        </w:rPr>
        <w:t>.</w:t>
      </w:r>
    </w:p>
    <w:p w:rsidR="00E153A2" w:rsidRPr="0015442B" w:rsidRDefault="00E153A2" w:rsidP="00E153A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153A2" w:rsidRPr="0015442B" w:rsidRDefault="00E153A2" w:rsidP="00E153A2">
      <w:pPr>
        <w:pStyle w:val="titlu11"/>
        <w:spacing w:line="276" w:lineRule="auto"/>
        <w:ind w:left="0" w:firstLine="0"/>
        <w:rPr>
          <w:b/>
          <w:bCs/>
          <w:sz w:val="24"/>
          <w:szCs w:val="24"/>
          <w:lang w:val="de-DE"/>
        </w:rPr>
      </w:pPr>
    </w:p>
    <w:p w:rsidR="00E153A2" w:rsidRPr="0015442B" w:rsidRDefault="00E153A2" w:rsidP="00E153A2">
      <w:pPr>
        <w:jc w:val="center"/>
        <w:rPr>
          <w:rFonts w:ascii="Times New Roman" w:hAnsi="Times New Roman"/>
          <w:sz w:val="24"/>
          <w:szCs w:val="24"/>
        </w:rPr>
      </w:pPr>
    </w:p>
    <w:p w:rsidR="00E153A2" w:rsidRPr="00F20A1C" w:rsidRDefault="008F627C" w:rsidP="00A03A29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53A2" w:rsidRPr="00F20A1C">
        <w:rPr>
          <w:rFonts w:ascii="Times New Roman" w:hAnsi="Times New Roman"/>
          <w:sz w:val="24"/>
          <w:szCs w:val="24"/>
        </w:rPr>
        <w:t>Director Departament,</w:t>
      </w:r>
    </w:p>
    <w:p w:rsidR="00E153A2" w:rsidRPr="0015442B" w:rsidRDefault="008F627C" w:rsidP="00A03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53A2" w:rsidRPr="0015442B">
        <w:rPr>
          <w:rFonts w:ascii="Times New Roman" w:hAnsi="Times New Roman"/>
          <w:sz w:val="24"/>
          <w:szCs w:val="24"/>
        </w:rPr>
        <w:t>Lector univ. dr. F</w:t>
      </w:r>
      <w:r w:rsidR="00F20A1C">
        <w:rPr>
          <w:rFonts w:ascii="Times New Roman" w:hAnsi="Times New Roman"/>
          <w:sz w:val="24"/>
          <w:szCs w:val="24"/>
        </w:rPr>
        <w:t>oszt</w:t>
      </w:r>
      <w:r w:rsidR="00F20A1C">
        <w:rPr>
          <w:rFonts w:ascii="Times New Roman" w:hAnsi="Times New Roman"/>
          <w:sz w:val="24"/>
          <w:szCs w:val="24"/>
          <w:lang w:val="hu-HU"/>
        </w:rPr>
        <w:t>ó</w:t>
      </w:r>
      <w:r w:rsidR="00E153A2" w:rsidRPr="0015442B">
        <w:rPr>
          <w:rFonts w:ascii="Times New Roman" w:hAnsi="Times New Roman"/>
          <w:sz w:val="24"/>
          <w:szCs w:val="24"/>
        </w:rPr>
        <w:t xml:space="preserve"> Mónika</w:t>
      </w:r>
    </w:p>
    <w:p w:rsidR="00E153A2" w:rsidRPr="0015442B" w:rsidRDefault="00E153A2" w:rsidP="00A03A29">
      <w:pPr>
        <w:spacing w:line="360" w:lineRule="auto"/>
        <w:rPr>
          <w:rFonts w:ascii="Times New Roman" w:hAnsi="Times New Roman"/>
        </w:rPr>
      </w:pPr>
    </w:p>
    <w:p w:rsidR="00E153A2" w:rsidRPr="0015442B" w:rsidRDefault="00E153A2" w:rsidP="00E153A2">
      <w:pPr>
        <w:jc w:val="center"/>
        <w:rPr>
          <w:rFonts w:ascii="Times New Roman" w:hAnsi="Times New Roman"/>
          <w:sz w:val="24"/>
          <w:szCs w:val="24"/>
        </w:rPr>
      </w:pPr>
    </w:p>
    <w:p w:rsidR="00E153A2" w:rsidRPr="0015442B" w:rsidRDefault="00E153A2" w:rsidP="00E153A2">
      <w:pPr>
        <w:spacing w:line="276" w:lineRule="auto"/>
        <w:rPr>
          <w:rFonts w:ascii="Times New Roman" w:hAnsi="Times New Roman"/>
          <w:sz w:val="24"/>
          <w:szCs w:val="24"/>
          <w:lang w:val="hu-HU"/>
        </w:rPr>
      </w:pPr>
    </w:p>
    <w:p w:rsidR="00E153A2" w:rsidRPr="0015442B" w:rsidRDefault="00E153A2" w:rsidP="00E153A2">
      <w:pPr>
        <w:spacing w:line="276" w:lineRule="auto"/>
        <w:rPr>
          <w:rFonts w:ascii="Times New Roman" w:hAnsi="Times New Roman"/>
        </w:rPr>
      </w:pPr>
      <w:r w:rsidRPr="0015442B">
        <w:rPr>
          <w:rFonts w:ascii="Times New Roman" w:hAnsi="Times New Roman"/>
          <w:b/>
          <w:sz w:val="24"/>
          <w:szCs w:val="24"/>
        </w:rPr>
        <w:tab/>
      </w:r>
      <w:r w:rsidRPr="0015442B">
        <w:rPr>
          <w:rFonts w:ascii="Times New Roman" w:hAnsi="Times New Roman"/>
          <w:b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</w:r>
      <w:r w:rsidRPr="0015442B">
        <w:rPr>
          <w:rFonts w:ascii="Times New Roman" w:hAnsi="Times New Roman"/>
          <w:sz w:val="24"/>
          <w:szCs w:val="24"/>
        </w:rPr>
        <w:tab/>
        <w:t xml:space="preserve"> </w:t>
      </w:r>
    </w:p>
    <w:p w:rsidR="00E153A2" w:rsidRPr="0015442B" w:rsidRDefault="00E153A2" w:rsidP="00E153A2">
      <w:pPr>
        <w:spacing w:line="360" w:lineRule="auto"/>
        <w:rPr>
          <w:rFonts w:ascii="Times New Roman" w:hAnsi="Times New Roman"/>
        </w:rPr>
      </w:pPr>
    </w:p>
    <w:p w:rsidR="00B403E2" w:rsidRPr="008B2644" w:rsidRDefault="00B403E2" w:rsidP="00E153A2">
      <w:pPr>
        <w:spacing w:line="288" w:lineRule="auto"/>
        <w:rPr>
          <w:rFonts w:ascii="Times New Roman" w:hAnsi="Times New Roman" w:cs="Times New Roman"/>
        </w:rPr>
      </w:pPr>
    </w:p>
    <w:sectPr w:rsidR="00B403E2" w:rsidRPr="008B2644" w:rsidSect="002B3893">
      <w:footerReference w:type="default" r:id="rId12"/>
      <w:pgSz w:w="11906" w:h="16838"/>
      <w:pgMar w:top="1134" w:right="1134" w:bottom="851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98" w:rsidRDefault="00387998" w:rsidP="002B3893">
      <w:r>
        <w:separator/>
      </w:r>
    </w:p>
  </w:endnote>
  <w:endnote w:type="continuationSeparator" w:id="1">
    <w:p w:rsidR="00387998" w:rsidRDefault="00387998" w:rsidP="002B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2B3893" w:rsidRPr="002B3893" w:rsidRDefault="002B3893">
            <w:pPr>
              <w:pStyle w:val="Footer"/>
              <w:jc w:val="right"/>
              <w:rPr>
                <w:rFonts w:ascii="Georgia" w:hAnsi="Georgia"/>
                <w:sz w:val="16"/>
                <w:szCs w:val="16"/>
              </w:rPr>
            </w:pPr>
            <w:r w:rsidRPr="002B3893">
              <w:rPr>
                <w:rFonts w:ascii="Georgia" w:hAnsi="Georgia"/>
                <w:sz w:val="16"/>
                <w:szCs w:val="16"/>
              </w:rPr>
              <w:t>Pag</w:t>
            </w:r>
            <w:r>
              <w:rPr>
                <w:rFonts w:ascii="Georgia" w:hAnsi="Georgia"/>
                <w:sz w:val="16"/>
                <w:szCs w:val="16"/>
              </w:rPr>
              <w:t>ina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25029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PAGE </w:instrText>
            </w:r>
            <w:r w:rsidR="00025029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7446">
              <w:rPr>
                <w:rFonts w:ascii="Georgia" w:hAnsi="Georgia"/>
                <w:noProof/>
                <w:sz w:val="16"/>
                <w:szCs w:val="16"/>
              </w:rPr>
              <w:t>1</w:t>
            </w:r>
            <w:r w:rsidR="00025029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25029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NUMPAGES  </w:instrText>
            </w:r>
            <w:r w:rsidR="00025029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7446">
              <w:rPr>
                <w:rFonts w:ascii="Georgia" w:hAnsi="Georgia"/>
                <w:noProof/>
                <w:sz w:val="16"/>
                <w:szCs w:val="16"/>
              </w:rPr>
              <w:t>3</w:t>
            </w:r>
            <w:r w:rsidR="00025029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</w:p>
        </w:sdtContent>
      </w:sdt>
    </w:sdtContent>
  </w:sdt>
  <w:p w:rsidR="002B3893" w:rsidRDefault="002B3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98" w:rsidRDefault="00387998" w:rsidP="002B3893">
      <w:r>
        <w:separator/>
      </w:r>
    </w:p>
  </w:footnote>
  <w:footnote w:type="continuationSeparator" w:id="1">
    <w:p w:rsidR="00387998" w:rsidRDefault="00387998" w:rsidP="002B3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6D7770"/>
    <w:multiLevelType w:val="hybridMultilevel"/>
    <w:tmpl w:val="BF4C4256"/>
    <w:lvl w:ilvl="0" w:tplc="2C52A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27A"/>
    <w:rsid w:val="00014D52"/>
    <w:rsid w:val="00020FF8"/>
    <w:rsid w:val="00025029"/>
    <w:rsid w:val="000329C1"/>
    <w:rsid w:val="00032B8C"/>
    <w:rsid w:val="00033705"/>
    <w:rsid w:val="00042F37"/>
    <w:rsid w:val="00057D58"/>
    <w:rsid w:val="00073629"/>
    <w:rsid w:val="00075654"/>
    <w:rsid w:val="00076E96"/>
    <w:rsid w:val="00093247"/>
    <w:rsid w:val="00093656"/>
    <w:rsid w:val="000A36DE"/>
    <w:rsid w:val="000C4D03"/>
    <w:rsid w:val="000D097A"/>
    <w:rsid w:val="000E2940"/>
    <w:rsid w:val="000E4C95"/>
    <w:rsid w:val="000E5858"/>
    <w:rsid w:val="000E60EC"/>
    <w:rsid w:val="00100029"/>
    <w:rsid w:val="001126CF"/>
    <w:rsid w:val="00117A90"/>
    <w:rsid w:val="00156DBA"/>
    <w:rsid w:val="00175AEB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C18EE"/>
    <w:rsid w:val="001D5B9D"/>
    <w:rsid w:val="001F2BB2"/>
    <w:rsid w:val="00204F24"/>
    <w:rsid w:val="002051BD"/>
    <w:rsid w:val="00213B48"/>
    <w:rsid w:val="002222EC"/>
    <w:rsid w:val="00234F39"/>
    <w:rsid w:val="002430EC"/>
    <w:rsid w:val="00245011"/>
    <w:rsid w:val="0024538C"/>
    <w:rsid w:val="0024580E"/>
    <w:rsid w:val="002611C6"/>
    <w:rsid w:val="00264BF5"/>
    <w:rsid w:val="002745D5"/>
    <w:rsid w:val="00275320"/>
    <w:rsid w:val="00277484"/>
    <w:rsid w:val="00293C48"/>
    <w:rsid w:val="002B3893"/>
    <w:rsid w:val="002C6648"/>
    <w:rsid w:val="002D10B2"/>
    <w:rsid w:val="002D16CB"/>
    <w:rsid w:val="002D3976"/>
    <w:rsid w:val="002D42CC"/>
    <w:rsid w:val="002D4E53"/>
    <w:rsid w:val="002F5717"/>
    <w:rsid w:val="003020F1"/>
    <w:rsid w:val="00307303"/>
    <w:rsid w:val="00315142"/>
    <w:rsid w:val="00317AAA"/>
    <w:rsid w:val="00317DD3"/>
    <w:rsid w:val="00325024"/>
    <w:rsid w:val="00334689"/>
    <w:rsid w:val="00345B82"/>
    <w:rsid w:val="00350C09"/>
    <w:rsid w:val="00351658"/>
    <w:rsid w:val="00355371"/>
    <w:rsid w:val="0036037A"/>
    <w:rsid w:val="00363846"/>
    <w:rsid w:val="00364E72"/>
    <w:rsid w:val="00367CD7"/>
    <w:rsid w:val="00387998"/>
    <w:rsid w:val="00395018"/>
    <w:rsid w:val="00396A5C"/>
    <w:rsid w:val="003A3415"/>
    <w:rsid w:val="003A369F"/>
    <w:rsid w:val="003B584E"/>
    <w:rsid w:val="003C015D"/>
    <w:rsid w:val="003C605B"/>
    <w:rsid w:val="003D0768"/>
    <w:rsid w:val="003D2195"/>
    <w:rsid w:val="003D50D6"/>
    <w:rsid w:val="003E1325"/>
    <w:rsid w:val="003E4ADD"/>
    <w:rsid w:val="003E6CB8"/>
    <w:rsid w:val="003E7F99"/>
    <w:rsid w:val="00400518"/>
    <w:rsid w:val="004016C5"/>
    <w:rsid w:val="00402125"/>
    <w:rsid w:val="0040634B"/>
    <w:rsid w:val="00407695"/>
    <w:rsid w:val="0041145C"/>
    <w:rsid w:val="00411A08"/>
    <w:rsid w:val="00411F58"/>
    <w:rsid w:val="00425851"/>
    <w:rsid w:val="00426116"/>
    <w:rsid w:val="00435DD1"/>
    <w:rsid w:val="00441DC6"/>
    <w:rsid w:val="00442250"/>
    <w:rsid w:val="00443BD6"/>
    <w:rsid w:val="00451455"/>
    <w:rsid w:val="00451812"/>
    <w:rsid w:val="00455E76"/>
    <w:rsid w:val="00456B48"/>
    <w:rsid w:val="004738A5"/>
    <w:rsid w:val="004902B0"/>
    <w:rsid w:val="0049499B"/>
    <w:rsid w:val="004A7DC7"/>
    <w:rsid w:val="004C59CE"/>
    <w:rsid w:val="004C6AE7"/>
    <w:rsid w:val="004D4F40"/>
    <w:rsid w:val="004E51AE"/>
    <w:rsid w:val="00502BDA"/>
    <w:rsid w:val="005072AC"/>
    <w:rsid w:val="00516839"/>
    <w:rsid w:val="00520588"/>
    <w:rsid w:val="0052102F"/>
    <w:rsid w:val="00526B81"/>
    <w:rsid w:val="005429D4"/>
    <w:rsid w:val="005435DB"/>
    <w:rsid w:val="00543F77"/>
    <w:rsid w:val="00551A18"/>
    <w:rsid w:val="00551CB0"/>
    <w:rsid w:val="005538DE"/>
    <w:rsid w:val="00561687"/>
    <w:rsid w:val="00562884"/>
    <w:rsid w:val="0057163A"/>
    <w:rsid w:val="005766BA"/>
    <w:rsid w:val="005825C2"/>
    <w:rsid w:val="0058405A"/>
    <w:rsid w:val="005936BE"/>
    <w:rsid w:val="00596C07"/>
    <w:rsid w:val="005972D0"/>
    <w:rsid w:val="005A0828"/>
    <w:rsid w:val="005A2C67"/>
    <w:rsid w:val="005B0E26"/>
    <w:rsid w:val="005B3278"/>
    <w:rsid w:val="005C342C"/>
    <w:rsid w:val="005D0AF0"/>
    <w:rsid w:val="005D63BD"/>
    <w:rsid w:val="005D6A9E"/>
    <w:rsid w:val="005E164B"/>
    <w:rsid w:val="005E7210"/>
    <w:rsid w:val="005F00BF"/>
    <w:rsid w:val="005F6A8E"/>
    <w:rsid w:val="00600525"/>
    <w:rsid w:val="006031DF"/>
    <w:rsid w:val="006044D4"/>
    <w:rsid w:val="00615071"/>
    <w:rsid w:val="006464DF"/>
    <w:rsid w:val="00654688"/>
    <w:rsid w:val="0066602B"/>
    <w:rsid w:val="00672475"/>
    <w:rsid w:val="00674596"/>
    <w:rsid w:val="00686876"/>
    <w:rsid w:val="006910BD"/>
    <w:rsid w:val="00691268"/>
    <w:rsid w:val="0069567C"/>
    <w:rsid w:val="006959CF"/>
    <w:rsid w:val="006A64F5"/>
    <w:rsid w:val="006B74BE"/>
    <w:rsid w:val="006C5948"/>
    <w:rsid w:val="006D65F1"/>
    <w:rsid w:val="006E20AC"/>
    <w:rsid w:val="006E3246"/>
    <w:rsid w:val="006E7E31"/>
    <w:rsid w:val="006F06AB"/>
    <w:rsid w:val="006F1C26"/>
    <w:rsid w:val="006F2F28"/>
    <w:rsid w:val="006F4275"/>
    <w:rsid w:val="006F791A"/>
    <w:rsid w:val="006F7F06"/>
    <w:rsid w:val="00700322"/>
    <w:rsid w:val="00714412"/>
    <w:rsid w:val="007151BE"/>
    <w:rsid w:val="00732CBD"/>
    <w:rsid w:val="00732FF8"/>
    <w:rsid w:val="00770CA9"/>
    <w:rsid w:val="00771007"/>
    <w:rsid w:val="00773649"/>
    <w:rsid w:val="0078257D"/>
    <w:rsid w:val="00784093"/>
    <w:rsid w:val="00785CD3"/>
    <w:rsid w:val="007B6920"/>
    <w:rsid w:val="007C1C93"/>
    <w:rsid w:val="007E0C98"/>
    <w:rsid w:val="007E171E"/>
    <w:rsid w:val="007E3F25"/>
    <w:rsid w:val="00805360"/>
    <w:rsid w:val="00807B0A"/>
    <w:rsid w:val="0081778E"/>
    <w:rsid w:val="00826CBB"/>
    <w:rsid w:val="00831BA4"/>
    <w:rsid w:val="008372FD"/>
    <w:rsid w:val="008374A8"/>
    <w:rsid w:val="008412C3"/>
    <w:rsid w:val="0084213F"/>
    <w:rsid w:val="00850A94"/>
    <w:rsid w:val="008513E2"/>
    <w:rsid w:val="00867B2C"/>
    <w:rsid w:val="00870B01"/>
    <w:rsid w:val="00871A43"/>
    <w:rsid w:val="0087455F"/>
    <w:rsid w:val="00893D7A"/>
    <w:rsid w:val="008A402A"/>
    <w:rsid w:val="008A4BE2"/>
    <w:rsid w:val="008A5827"/>
    <w:rsid w:val="008B1FEF"/>
    <w:rsid w:val="008B2644"/>
    <w:rsid w:val="008B594D"/>
    <w:rsid w:val="008D2F80"/>
    <w:rsid w:val="008D5D58"/>
    <w:rsid w:val="008E0765"/>
    <w:rsid w:val="008E5064"/>
    <w:rsid w:val="008F0D67"/>
    <w:rsid w:val="008F3795"/>
    <w:rsid w:val="008F3CB5"/>
    <w:rsid w:val="008F627C"/>
    <w:rsid w:val="008F6AB0"/>
    <w:rsid w:val="0090152F"/>
    <w:rsid w:val="00906A16"/>
    <w:rsid w:val="0090738D"/>
    <w:rsid w:val="00912FF9"/>
    <w:rsid w:val="00921A29"/>
    <w:rsid w:val="00921C60"/>
    <w:rsid w:val="00922287"/>
    <w:rsid w:val="009619D0"/>
    <w:rsid w:val="00961BBC"/>
    <w:rsid w:val="0099260F"/>
    <w:rsid w:val="0099473E"/>
    <w:rsid w:val="009A2AEC"/>
    <w:rsid w:val="009D4075"/>
    <w:rsid w:val="009D5675"/>
    <w:rsid w:val="009E0D4D"/>
    <w:rsid w:val="009E2388"/>
    <w:rsid w:val="00A022F9"/>
    <w:rsid w:val="00A03A29"/>
    <w:rsid w:val="00A073C0"/>
    <w:rsid w:val="00A174F3"/>
    <w:rsid w:val="00A2127A"/>
    <w:rsid w:val="00A26C48"/>
    <w:rsid w:val="00A35A0A"/>
    <w:rsid w:val="00A418EF"/>
    <w:rsid w:val="00A456D3"/>
    <w:rsid w:val="00A636B8"/>
    <w:rsid w:val="00AB3271"/>
    <w:rsid w:val="00AC07CB"/>
    <w:rsid w:val="00AC3EB7"/>
    <w:rsid w:val="00AC6F1F"/>
    <w:rsid w:val="00AD6CA1"/>
    <w:rsid w:val="00AE01F0"/>
    <w:rsid w:val="00AE6387"/>
    <w:rsid w:val="00B127DE"/>
    <w:rsid w:val="00B1430C"/>
    <w:rsid w:val="00B15923"/>
    <w:rsid w:val="00B403E2"/>
    <w:rsid w:val="00B43B23"/>
    <w:rsid w:val="00B45072"/>
    <w:rsid w:val="00B607E7"/>
    <w:rsid w:val="00B60910"/>
    <w:rsid w:val="00B61991"/>
    <w:rsid w:val="00B62091"/>
    <w:rsid w:val="00B62C7B"/>
    <w:rsid w:val="00B62D2D"/>
    <w:rsid w:val="00B718B0"/>
    <w:rsid w:val="00B86A60"/>
    <w:rsid w:val="00B96C49"/>
    <w:rsid w:val="00B97ADD"/>
    <w:rsid w:val="00BA0C25"/>
    <w:rsid w:val="00BB0E22"/>
    <w:rsid w:val="00BB155E"/>
    <w:rsid w:val="00BB5092"/>
    <w:rsid w:val="00BC0B64"/>
    <w:rsid w:val="00BD1226"/>
    <w:rsid w:val="00BD6B46"/>
    <w:rsid w:val="00BD6FAA"/>
    <w:rsid w:val="00C01D05"/>
    <w:rsid w:val="00C0419D"/>
    <w:rsid w:val="00C04B47"/>
    <w:rsid w:val="00C07BE0"/>
    <w:rsid w:val="00C07FA6"/>
    <w:rsid w:val="00C209CD"/>
    <w:rsid w:val="00C21B2A"/>
    <w:rsid w:val="00C22950"/>
    <w:rsid w:val="00C237F4"/>
    <w:rsid w:val="00C34E0B"/>
    <w:rsid w:val="00C4496F"/>
    <w:rsid w:val="00C5133B"/>
    <w:rsid w:val="00C552A4"/>
    <w:rsid w:val="00C57488"/>
    <w:rsid w:val="00C84070"/>
    <w:rsid w:val="00C84199"/>
    <w:rsid w:val="00C944BF"/>
    <w:rsid w:val="00CA7E2A"/>
    <w:rsid w:val="00CC4C57"/>
    <w:rsid w:val="00CC5098"/>
    <w:rsid w:val="00CD0323"/>
    <w:rsid w:val="00CD544D"/>
    <w:rsid w:val="00CE5420"/>
    <w:rsid w:val="00CF1341"/>
    <w:rsid w:val="00CF7767"/>
    <w:rsid w:val="00D00B57"/>
    <w:rsid w:val="00D049C7"/>
    <w:rsid w:val="00D20818"/>
    <w:rsid w:val="00D22D98"/>
    <w:rsid w:val="00D421F5"/>
    <w:rsid w:val="00D51F10"/>
    <w:rsid w:val="00D557D2"/>
    <w:rsid w:val="00D8361D"/>
    <w:rsid w:val="00D8562D"/>
    <w:rsid w:val="00D9151D"/>
    <w:rsid w:val="00DA2EF0"/>
    <w:rsid w:val="00DA7558"/>
    <w:rsid w:val="00DB36A4"/>
    <w:rsid w:val="00DC0D25"/>
    <w:rsid w:val="00DE44FD"/>
    <w:rsid w:val="00E1530E"/>
    <w:rsid w:val="00E153A2"/>
    <w:rsid w:val="00E157EE"/>
    <w:rsid w:val="00E22409"/>
    <w:rsid w:val="00E355C7"/>
    <w:rsid w:val="00E37446"/>
    <w:rsid w:val="00E4063D"/>
    <w:rsid w:val="00E45E87"/>
    <w:rsid w:val="00E518C1"/>
    <w:rsid w:val="00E54AE5"/>
    <w:rsid w:val="00E55C59"/>
    <w:rsid w:val="00E61645"/>
    <w:rsid w:val="00E63B1C"/>
    <w:rsid w:val="00E96158"/>
    <w:rsid w:val="00E9708D"/>
    <w:rsid w:val="00E97625"/>
    <w:rsid w:val="00EA4999"/>
    <w:rsid w:val="00EB10B0"/>
    <w:rsid w:val="00EB1F8A"/>
    <w:rsid w:val="00EC11EC"/>
    <w:rsid w:val="00EC436C"/>
    <w:rsid w:val="00EE0F7E"/>
    <w:rsid w:val="00EE5295"/>
    <w:rsid w:val="00EF2A7C"/>
    <w:rsid w:val="00EF6666"/>
    <w:rsid w:val="00F0596C"/>
    <w:rsid w:val="00F10073"/>
    <w:rsid w:val="00F20A1C"/>
    <w:rsid w:val="00F3235E"/>
    <w:rsid w:val="00F45FB8"/>
    <w:rsid w:val="00F47325"/>
    <w:rsid w:val="00F53DA5"/>
    <w:rsid w:val="00F661A1"/>
    <w:rsid w:val="00F80E40"/>
    <w:rsid w:val="00F84C00"/>
    <w:rsid w:val="00F84D7B"/>
    <w:rsid w:val="00F97584"/>
    <w:rsid w:val="00FA7E4E"/>
    <w:rsid w:val="00FB3EB5"/>
    <w:rsid w:val="00FB56B7"/>
    <w:rsid w:val="00FB6345"/>
    <w:rsid w:val="00FD524F"/>
    <w:rsid w:val="00FF0902"/>
    <w:rsid w:val="00FF1E10"/>
    <w:rsid w:val="00FF3146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93"/>
  </w:style>
  <w:style w:type="paragraph" w:styleId="Footer">
    <w:name w:val="footer"/>
    <w:basedOn w:val="Normal"/>
    <w:link w:val="FooterChar"/>
    <w:uiPriority w:val="99"/>
    <w:unhideWhenUsed/>
    <w:rsid w:val="002B3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93"/>
  </w:style>
  <w:style w:type="character" w:styleId="Hyperlink">
    <w:name w:val="Hyperlink"/>
    <w:basedOn w:val="DefaultParagraphFont"/>
    <w:uiPriority w:val="99"/>
    <w:unhideWhenUsed/>
    <w:rsid w:val="001D5B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05360"/>
    <w:rPr>
      <w:i/>
      <w:iCs/>
    </w:rPr>
  </w:style>
  <w:style w:type="paragraph" w:customStyle="1" w:styleId="titlu11">
    <w:name w:val="titlu 1.1."/>
    <w:uiPriority w:val="99"/>
    <w:rsid w:val="00E153A2"/>
    <w:pPr>
      <w:tabs>
        <w:tab w:val="right" w:leader="dot" w:pos="7370"/>
      </w:tabs>
      <w:autoSpaceDE w:val="0"/>
      <w:autoSpaceDN w:val="0"/>
      <w:adjustRightInd w:val="0"/>
      <w:ind w:left="850" w:hanging="454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a_econ@econ.ubbcluj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1C767-B72A-4C7F-8E45-4FC96416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Veress Ana-Maria</cp:lastModifiedBy>
  <cp:revision>14</cp:revision>
  <cp:lastPrinted>2018-11-21T07:08:00Z</cp:lastPrinted>
  <dcterms:created xsi:type="dcterms:W3CDTF">2018-11-15T08:59:00Z</dcterms:created>
  <dcterms:modified xsi:type="dcterms:W3CDTF">2018-11-21T07:35:00Z</dcterms:modified>
</cp:coreProperties>
</file>